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80A" w14:textId="77777777" w:rsidR="002E2782" w:rsidRDefault="002E2782" w:rsidP="002E2782">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11      la </w:t>
      </w:r>
      <w:r>
        <w:rPr>
          <w:rFonts w:ascii="Times New Roman" w:hAnsi="Times New Roman" w:cs="Times New Roman"/>
          <w:color w:val="008000"/>
          <w:kern w:val="0"/>
          <w:sz w:val="28"/>
          <w:szCs w:val="28"/>
          <w:u w:val="single"/>
        </w:rPr>
        <w:t>normele</w:t>
      </w:r>
      <w:r>
        <w:rPr>
          <w:rFonts w:ascii="Times New Roman" w:hAnsi="Times New Roman" w:cs="Times New Roman"/>
          <w:kern w:val="0"/>
          <w:sz w:val="28"/>
          <w:szCs w:val="28"/>
        </w:rPr>
        <w:t xml:space="preserve"> metodologice </w:t>
      </w:r>
    </w:p>
    <w:p w14:paraId="70EE2C4E" w14:textId="77777777" w:rsidR="002E2782" w:rsidRDefault="002E2782" w:rsidP="002E2782">
      <w:pPr>
        <w:autoSpaceDE w:val="0"/>
        <w:autoSpaceDN w:val="0"/>
        <w:adjustRightInd w:val="0"/>
        <w:spacing w:after="0" w:line="240" w:lineRule="auto"/>
        <w:rPr>
          <w:rFonts w:ascii="Times New Roman" w:hAnsi="Times New Roman" w:cs="Times New Roman"/>
          <w:kern w:val="0"/>
          <w:sz w:val="28"/>
          <w:szCs w:val="28"/>
        </w:rPr>
      </w:pPr>
    </w:p>
    <w:p w14:paraId="7C26A0C6" w14:textId="77777777" w:rsidR="002E2782" w:rsidRDefault="002E2782" w:rsidP="002E2782">
      <w:pPr>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PROCEDURĂ</w:t>
      </w:r>
    </w:p>
    <w:p w14:paraId="70F2BBA5" w14:textId="77777777" w:rsidR="002E2782" w:rsidRDefault="002E2782" w:rsidP="002E2782">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de verificare şi validare a solicitării dreptului la venitul minim de incluziune</w:t>
      </w:r>
    </w:p>
    <w:p w14:paraId="2B15A28D" w14:textId="77777777" w:rsidR="002E2782" w:rsidRDefault="002E2782" w:rsidP="002E2782">
      <w:pPr>
        <w:autoSpaceDE w:val="0"/>
        <w:autoSpaceDN w:val="0"/>
        <w:adjustRightInd w:val="0"/>
        <w:spacing w:after="0" w:line="240" w:lineRule="auto"/>
        <w:jc w:val="center"/>
        <w:rPr>
          <w:rFonts w:ascii="Times New Roman" w:hAnsi="Times New Roman" w:cs="Times New Roman"/>
          <w:kern w:val="0"/>
          <w:sz w:val="28"/>
          <w:szCs w:val="28"/>
        </w:rPr>
      </w:pPr>
    </w:p>
    <w:p w14:paraId="7809CD91"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1. Validarea componenţei familiei</w:t>
      </w:r>
    </w:p>
    <w:p w14:paraId="2B20256B"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Se verifică situaţia declarată a persoanei singure sau a familiei, după caz, prin verificarea informaţiilor referitoare la actele de identitate, CNP şi stare civilă prin intermediul Sistemul naţional informatic pentru asistenţă socială (SNIAS), pe baza informaţiilor din bazele de date referitoare la evidenţa populaţiei şi stare civilă.</w:t>
      </w:r>
    </w:p>
    <w:p w14:paraId="0B484986"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În situaţia în care informaţiile sunt incomplete sau eronate, se vor solicita documente justificative din partea instituţiilor competente sau de la solicitant, după caz.</w:t>
      </w:r>
    </w:p>
    <w:p w14:paraId="6F395060"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2. Verificarea venitului total al persoanei singure/familiei</w:t>
      </w:r>
    </w:p>
    <w:p w14:paraId="04CD63A5"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Pentru fiecare membru al familiei vor fi verificate informaţiile referitoare la veniturile lunare sau anuale aflate în evidenţele Agenţiei Naţionale de Administrare Fiscală (ANAF).</w:t>
      </w:r>
    </w:p>
    <w:p w14:paraId="567472A7"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Veniturile anuale sau lunare vor fi evidenţiate pe categorii de venituri pentru fiecare membru de familie în parte.</w:t>
      </w:r>
    </w:p>
    <w:p w14:paraId="4C5F55F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c) Pentru fiecare membru de familie în parte vor fi verificate existenţa şi valoarea veniturilor exceptate potrivit legii în bazele de date ale instituţiilor plătitoare a acestor tipuri de venituri.</w:t>
      </w:r>
    </w:p>
    <w:p w14:paraId="0071FB1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d) Pot fi solicitate documente justificative de la alte instituţii sau de la solicitant, după caz, în situaţia în care informaţiile obţinute în urma verificării prin intermediul SNIAS sunt incomplete sau eronate.</w:t>
      </w:r>
    </w:p>
    <w:p w14:paraId="2FBB503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3. Validarea informaţiilor referitoare la pct. 2 din formularul prevăzut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Normele metodologice de aplicare a prevederilor </w:t>
      </w:r>
      <w:r>
        <w:rPr>
          <w:rFonts w:ascii="Times New Roman" w:hAnsi="Times New Roman" w:cs="Times New Roman"/>
          <w:color w:val="008000"/>
          <w:kern w:val="0"/>
          <w:sz w:val="28"/>
          <w:szCs w:val="28"/>
          <w:u w:val="single"/>
        </w:rPr>
        <w:t>Legii nr. 196/2016</w:t>
      </w:r>
      <w:r>
        <w:rPr>
          <w:rFonts w:ascii="Times New Roman" w:hAnsi="Times New Roman" w:cs="Times New Roman"/>
          <w:kern w:val="0"/>
          <w:sz w:val="28"/>
          <w:szCs w:val="28"/>
        </w:rPr>
        <w:t xml:space="preserve"> privind venitul minim de incluziune, denumite în continuare norme metodologice, aprobate prin </w:t>
      </w:r>
      <w:r>
        <w:rPr>
          <w:rFonts w:ascii="Times New Roman" w:hAnsi="Times New Roman" w:cs="Times New Roman"/>
          <w:color w:val="008000"/>
          <w:kern w:val="0"/>
          <w:sz w:val="28"/>
          <w:szCs w:val="28"/>
          <w:u w:val="single"/>
        </w:rPr>
        <w:t>Hotărârea Guvernului nr. 1.154/2022</w:t>
      </w:r>
    </w:p>
    <w:p w14:paraId="40012F2A"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Solicitantul şi membrii familiei acestuia, după caz, nu deţin în proprietate nici unul dintre bunurile cuprinse în Lista bunurilor ce conduc la excluderea acordării venitului minim de incluziune, prin verificarea în bazele de date naţionale şi/sau locale prin intermediul SNIAS.</w:t>
      </w:r>
    </w:p>
    <w:p w14:paraId="087B33CB"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În situaţia în care informaţiile sunt incomplete sau eronate, se vor solicita documente justificative din partea instituţiilor competente sau de la solicitant, după caz.</w:t>
      </w:r>
    </w:p>
    <w:p w14:paraId="797EA026"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c) În situaţia în care solicitantul sau membrii familiei acestuia deţin unul dintre bunurile menţionate în Lista bunurilor ce conduc la excluderea acordării venitului minim de incluziune, se verifică dacă acest bun/bunurile sunt date în închiriere/arendă/concesiune sau altă formă legală de cedare a folosinţei prin </w:t>
      </w:r>
      <w:r>
        <w:rPr>
          <w:rFonts w:ascii="Times New Roman" w:hAnsi="Times New Roman" w:cs="Times New Roman"/>
          <w:kern w:val="0"/>
          <w:sz w:val="28"/>
          <w:szCs w:val="28"/>
        </w:rPr>
        <w:lastRenderedPageBreak/>
        <w:t>accesarea bazelor de date ale ANAF şi, după caz, prin solicitarea de documente justificative de la alte instituţii şi de la solicitant.</w:t>
      </w:r>
    </w:p>
    <w:p w14:paraId="09D2D4DC"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4. Validarea informaţiilor referitoare la pct. 3 din formularul prevăzut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normele metodologice</w:t>
      </w:r>
    </w:p>
    <w:p w14:paraId="783CA38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Niciunul dintre membrii familiei nu are calitatea de beneficiar de VMI/ajutor de încălzire/supliment pentru energie.</w:t>
      </w:r>
    </w:p>
    <w:p w14:paraId="495B8229"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Niciunul dintre membrii familiei nu a depus o altă cerere pentru acordarea de VMI/ajutor de încălzire/supliment pentru energie.</w:t>
      </w:r>
    </w:p>
    <w:p w14:paraId="569D373C"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c) Niciunul dintre membrii familiei nu este menţionat ca membru al altei familii sau persoană singură într-o altă cerere pentru acordarea de VMI/ajutor de încălzire/supliment pentru energie.</w:t>
      </w:r>
    </w:p>
    <w:p w14:paraId="685CD88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5. Verificarea informaţiilor declarate la pct. 5 din formularul prevăzut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normele metodologice</w:t>
      </w:r>
    </w:p>
    <w:p w14:paraId="4CEC9EAB"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Verificarea se va realiza prin verificarea în teren realizată de asistentul social al serviciului public de asistenţă socială (SPAS).</w:t>
      </w:r>
    </w:p>
    <w:p w14:paraId="2C8FF33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6. Verificarea informaţiilor referitoare la pct. 6 din formularul prevăzut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normele metodologice</w:t>
      </w:r>
    </w:p>
    <w:p w14:paraId="297270C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Verificarea informaţiilor referitoare la forma de proprietate a locuinţei va fi realizată prin intermediul SNIAS, prin verificarea bazelor de date naţionale şi locale.</w:t>
      </w:r>
    </w:p>
    <w:p w14:paraId="265E50ED"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În situaţia în care informaţiile sunt incomplete sau eronate, se vor solicita documente justificative din partea instituţiilor competente sau de la solicitant, după caz.</w:t>
      </w:r>
    </w:p>
    <w:p w14:paraId="0B534F85"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c) Vor fi verificate informaţiile referitoare la tipul locuinţei, precum şi cele referitoare la existenţa sau inexistenţa unei poliţe de asigurare a locuinţei valabile.</w:t>
      </w:r>
    </w:p>
    <w:p w14:paraId="161E565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7. Verificarea informaţiilor referitoare la pct. 7 din formularul prevăzut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normele metodologice</w:t>
      </w:r>
    </w:p>
    <w:p w14:paraId="24E41EB4"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Verificarea se va realiza prin verificarea în teren realizată de asistentul social al SPAS, în termenul prevăzut de legislaţia referitoare la consumatorul vulnerabil.</w:t>
      </w:r>
    </w:p>
    <w:p w14:paraId="5E7AAEF7"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În urma verificării în teren vor fi colectate informaţii referitoare la furnizori, codul/codurile titularului de contract, precum şi informaţii referitoare la consumul energetic din gospodărie, în afara încălzirii locuinţei, şi identificarea situaţiilor în care există nevoi speciale legate de starea de sănătate a membrilor familiei care depind de utilizarea unor echipamente medicale şi utilizarea unor mijloace de comunicare care presupun utilizarea energiei electrice etc.</w:t>
      </w:r>
    </w:p>
    <w:p w14:paraId="23970FD3"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8. Verificarea înregistrării la agenţia judeţeană pentru ocuparea forţei de muncă ca persoană aflată în căutarea unui loc de muncă</w:t>
      </w:r>
    </w:p>
    <w:p w14:paraId="7546E02D"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Vor fi verificate informaţiile referitoare la fiecare membru al familiei cu vârsta între 16 şi 65 de ani, în vederea identificării persoanelor inapte de muncă prin intermediul SNIAS în bazele de date care cuprind informaţii despre pensionarii de invaliditate.</w:t>
      </w:r>
    </w:p>
    <w:p w14:paraId="3B1305F9"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În cazul în care solicitantul prezintă pentru el sau alţi membri de familie documente eliberate de medicul specialist în medicina muncii că nu este apt de muncă, aceste informaţii vor fi înregistrate în SNIAS.</w:t>
      </w:r>
    </w:p>
    <w:p w14:paraId="63D90363"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c) Pentru membrii familiei care sunt identificaţi ca apţi de muncă se verifică prin SNIAS în baza de date a Agenţiei Naţionale pentru Ocuparea Forţei de Muncă dacă sunt înregistraţi ca persoane în căutarea unui loc de muncă.</w:t>
      </w:r>
    </w:p>
    <w:p w14:paraId="1763D651"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d) Pentru verificarea excepţiilor, asistentul social, prin verificare în teren, va constata existenţa acestor situaţii şi va colecta documente justificative de la instituţii sau de la solicitant, după caz.</w:t>
      </w:r>
    </w:p>
    <w:p w14:paraId="6C21A3BC"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9. Verificarea situaţiei copiilor de vârstă şcolară</w:t>
      </w:r>
    </w:p>
    <w:p w14:paraId="619359FB"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a) Prin intermediul SNIAS vor fi verificate în bazele de date ale Ministerului Educaţiei informaţiile referitoare la fiecare copil de vârstă şcolară cu privire la înmatricularea într-o unitate de învăţământ organizată în condiţiile legii, la data depunerii cererii de acordare a venitului minim de incluziune.</w:t>
      </w:r>
    </w:p>
    <w:p w14:paraId="6CEFE79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b) În situaţia în care informaţiile sunt incomplete sau eronate, se vor solicita documente justificative din partea instituţiilor competente sau de la solicitant, după caz.</w:t>
      </w:r>
    </w:p>
    <w:p w14:paraId="4A94A442"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436E6380"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7CEBF213"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02B2B52C"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1CDD0C9D"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67399C4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282D5E4F"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6F87C29B"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4641A035"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5EABDA4F"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01E2E65D"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78AC3335"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013565A8"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788989B6"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4F750759"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57A7CCDA"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5B6ABA22"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28739C9E"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764C334F"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64595CB3"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53463ABC"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484813DD"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102EEFC3" w14:textId="77777777" w:rsidR="002E2782" w:rsidRDefault="002E2782" w:rsidP="002E2782">
      <w:pPr>
        <w:autoSpaceDE w:val="0"/>
        <w:autoSpaceDN w:val="0"/>
        <w:adjustRightInd w:val="0"/>
        <w:spacing w:after="0" w:line="240" w:lineRule="auto"/>
        <w:jc w:val="both"/>
        <w:rPr>
          <w:rFonts w:ascii="Times New Roman" w:hAnsi="Times New Roman" w:cs="Times New Roman"/>
          <w:kern w:val="0"/>
          <w:sz w:val="28"/>
          <w:szCs w:val="28"/>
        </w:rPr>
      </w:pPr>
    </w:p>
    <w:p w14:paraId="4767898E" w14:textId="1D641A81" w:rsidR="00CD5263" w:rsidRPr="002E2782" w:rsidRDefault="00CD5263" w:rsidP="002E2782"/>
    <w:sectPr w:rsidR="00CD5263" w:rsidRPr="002E2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0DA1"/>
    <w:multiLevelType w:val="multilevel"/>
    <w:tmpl w:val="136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A3EAE"/>
    <w:multiLevelType w:val="multilevel"/>
    <w:tmpl w:val="9A1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21C5"/>
    <w:multiLevelType w:val="multilevel"/>
    <w:tmpl w:val="885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F5BC7"/>
    <w:multiLevelType w:val="multilevel"/>
    <w:tmpl w:val="30B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97CFA"/>
    <w:multiLevelType w:val="multilevel"/>
    <w:tmpl w:val="B6F2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186982">
    <w:abstractNumId w:val="4"/>
  </w:num>
  <w:num w:numId="2" w16cid:durableId="1045568794">
    <w:abstractNumId w:val="0"/>
  </w:num>
  <w:num w:numId="3" w16cid:durableId="674452847">
    <w:abstractNumId w:val="2"/>
  </w:num>
  <w:num w:numId="4" w16cid:durableId="1161966035">
    <w:abstractNumId w:val="1"/>
  </w:num>
  <w:num w:numId="5" w16cid:durableId="110083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C9"/>
    <w:rsid w:val="00042F0E"/>
    <w:rsid w:val="00105072"/>
    <w:rsid w:val="00143FC9"/>
    <w:rsid w:val="002B3E24"/>
    <w:rsid w:val="002D1139"/>
    <w:rsid w:val="002E2782"/>
    <w:rsid w:val="00542B66"/>
    <w:rsid w:val="00686BB1"/>
    <w:rsid w:val="007659B2"/>
    <w:rsid w:val="009603BB"/>
    <w:rsid w:val="009862C6"/>
    <w:rsid w:val="0099463E"/>
    <w:rsid w:val="00A63E68"/>
    <w:rsid w:val="00B319D7"/>
    <w:rsid w:val="00BE3829"/>
    <w:rsid w:val="00C9597B"/>
    <w:rsid w:val="00CD5263"/>
    <w:rsid w:val="00D72016"/>
    <w:rsid w:val="00F155EA"/>
    <w:rsid w:val="00FF6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FE6B"/>
  <w15:chartTrackingRefBased/>
  <w15:docId w15:val="{AC0C7709-4810-4473-82D4-E2419BA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EA"/>
    <w:pPr>
      <w:spacing w:after="200" w:line="276" w:lineRule="auto"/>
    </w:pPr>
    <w:rPr>
      <w:lang w:val="en-US"/>
    </w:rPr>
  </w:style>
  <w:style w:type="paragraph" w:styleId="Titlu1">
    <w:name w:val="heading 1"/>
    <w:basedOn w:val="Normal"/>
    <w:next w:val="Normal"/>
    <w:link w:val="Titlu1Caracter"/>
    <w:uiPriority w:val="9"/>
    <w:qFormat/>
    <w:rsid w:val="00143FC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Titlu2">
    <w:name w:val="heading 2"/>
    <w:basedOn w:val="Normal"/>
    <w:next w:val="Normal"/>
    <w:link w:val="Titlu2Caracter"/>
    <w:uiPriority w:val="9"/>
    <w:semiHidden/>
    <w:unhideWhenUsed/>
    <w:qFormat/>
    <w:rsid w:val="00143FC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Titlu3">
    <w:name w:val="heading 3"/>
    <w:basedOn w:val="Normal"/>
    <w:next w:val="Normal"/>
    <w:link w:val="Titlu3Caracter"/>
    <w:uiPriority w:val="9"/>
    <w:semiHidden/>
    <w:unhideWhenUsed/>
    <w:qFormat/>
    <w:rsid w:val="00143FC9"/>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Titlu4">
    <w:name w:val="heading 4"/>
    <w:basedOn w:val="Normal"/>
    <w:next w:val="Normal"/>
    <w:link w:val="Titlu4Caracter"/>
    <w:uiPriority w:val="9"/>
    <w:semiHidden/>
    <w:unhideWhenUsed/>
    <w:qFormat/>
    <w:rsid w:val="00143FC9"/>
    <w:pPr>
      <w:keepNext/>
      <w:keepLines/>
      <w:spacing w:before="80" w:after="40" w:line="259" w:lineRule="auto"/>
      <w:outlineLvl w:val="3"/>
    </w:pPr>
    <w:rPr>
      <w:rFonts w:eastAsiaTheme="majorEastAsia" w:cstheme="majorBidi"/>
      <w:i/>
      <w:iCs/>
      <w:color w:val="2F5496" w:themeColor="accent1" w:themeShade="BF"/>
      <w:lang w:val="en-GB"/>
    </w:rPr>
  </w:style>
  <w:style w:type="paragraph" w:styleId="Titlu5">
    <w:name w:val="heading 5"/>
    <w:basedOn w:val="Normal"/>
    <w:next w:val="Normal"/>
    <w:link w:val="Titlu5Caracter"/>
    <w:uiPriority w:val="9"/>
    <w:semiHidden/>
    <w:unhideWhenUsed/>
    <w:qFormat/>
    <w:rsid w:val="00143FC9"/>
    <w:pPr>
      <w:keepNext/>
      <w:keepLines/>
      <w:spacing w:before="80" w:after="40" w:line="259" w:lineRule="auto"/>
      <w:outlineLvl w:val="4"/>
    </w:pPr>
    <w:rPr>
      <w:rFonts w:eastAsiaTheme="majorEastAsia" w:cstheme="majorBidi"/>
      <w:color w:val="2F5496" w:themeColor="accent1" w:themeShade="BF"/>
      <w:lang w:val="en-GB"/>
    </w:rPr>
  </w:style>
  <w:style w:type="paragraph" w:styleId="Titlu6">
    <w:name w:val="heading 6"/>
    <w:basedOn w:val="Normal"/>
    <w:next w:val="Normal"/>
    <w:link w:val="Titlu6Caracter"/>
    <w:uiPriority w:val="9"/>
    <w:semiHidden/>
    <w:unhideWhenUsed/>
    <w:qFormat/>
    <w:rsid w:val="00143FC9"/>
    <w:pPr>
      <w:keepNext/>
      <w:keepLines/>
      <w:spacing w:before="40" w:after="0" w:line="259" w:lineRule="auto"/>
      <w:outlineLvl w:val="5"/>
    </w:pPr>
    <w:rPr>
      <w:rFonts w:eastAsiaTheme="majorEastAsia" w:cstheme="majorBidi"/>
      <w:i/>
      <w:iCs/>
      <w:color w:val="595959" w:themeColor="text1" w:themeTint="A6"/>
      <w:lang w:val="en-GB"/>
    </w:rPr>
  </w:style>
  <w:style w:type="paragraph" w:styleId="Titlu7">
    <w:name w:val="heading 7"/>
    <w:basedOn w:val="Normal"/>
    <w:next w:val="Normal"/>
    <w:link w:val="Titlu7Caracter"/>
    <w:uiPriority w:val="9"/>
    <w:semiHidden/>
    <w:unhideWhenUsed/>
    <w:qFormat/>
    <w:rsid w:val="00143FC9"/>
    <w:pPr>
      <w:keepNext/>
      <w:keepLines/>
      <w:spacing w:before="40" w:after="0" w:line="259" w:lineRule="auto"/>
      <w:outlineLvl w:val="6"/>
    </w:pPr>
    <w:rPr>
      <w:rFonts w:eastAsiaTheme="majorEastAsia" w:cstheme="majorBidi"/>
      <w:color w:val="595959" w:themeColor="text1" w:themeTint="A6"/>
      <w:lang w:val="en-GB"/>
    </w:rPr>
  </w:style>
  <w:style w:type="paragraph" w:styleId="Titlu8">
    <w:name w:val="heading 8"/>
    <w:basedOn w:val="Normal"/>
    <w:next w:val="Normal"/>
    <w:link w:val="Titlu8Caracter"/>
    <w:uiPriority w:val="9"/>
    <w:semiHidden/>
    <w:unhideWhenUsed/>
    <w:qFormat/>
    <w:rsid w:val="00143FC9"/>
    <w:pPr>
      <w:keepNext/>
      <w:keepLines/>
      <w:spacing w:after="0" w:line="259" w:lineRule="auto"/>
      <w:outlineLvl w:val="7"/>
    </w:pPr>
    <w:rPr>
      <w:rFonts w:eastAsiaTheme="majorEastAsia" w:cstheme="majorBidi"/>
      <w:i/>
      <w:iCs/>
      <w:color w:val="272727" w:themeColor="text1" w:themeTint="D8"/>
      <w:lang w:val="en-GB"/>
    </w:rPr>
  </w:style>
  <w:style w:type="paragraph" w:styleId="Titlu9">
    <w:name w:val="heading 9"/>
    <w:basedOn w:val="Normal"/>
    <w:next w:val="Normal"/>
    <w:link w:val="Titlu9Caracter"/>
    <w:uiPriority w:val="9"/>
    <w:semiHidden/>
    <w:unhideWhenUsed/>
    <w:qFormat/>
    <w:rsid w:val="00143FC9"/>
    <w:pPr>
      <w:keepNext/>
      <w:keepLines/>
      <w:spacing w:after="0" w:line="259" w:lineRule="auto"/>
      <w:outlineLvl w:val="8"/>
    </w:pPr>
    <w:rPr>
      <w:rFonts w:eastAsiaTheme="majorEastAsia" w:cstheme="majorBidi"/>
      <w:color w:val="272727" w:themeColor="text1" w:themeTint="D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3FC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43FC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43FC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43FC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43FC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43FC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3FC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3FC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3FC9"/>
    <w:rPr>
      <w:rFonts w:eastAsiaTheme="majorEastAsia" w:cstheme="majorBidi"/>
      <w:color w:val="272727" w:themeColor="text1" w:themeTint="D8"/>
    </w:rPr>
  </w:style>
  <w:style w:type="paragraph" w:styleId="Titlu">
    <w:name w:val="Title"/>
    <w:basedOn w:val="Normal"/>
    <w:next w:val="Normal"/>
    <w:link w:val="TitluCaracter"/>
    <w:uiPriority w:val="10"/>
    <w:qFormat/>
    <w:rsid w:val="00143FC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uCaracter">
    <w:name w:val="Titlu Caracter"/>
    <w:basedOn w:val="Fontdeparagrafimplicit"/>
    <w:link w:val="Titlu"/>
    <w:uiPriority w:val="10"/>
    <w:rsid w:val="00143FC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3FC9"/>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uCaracter">
    <w:name w:val="Subtitlu Caracter"/>
    <w:basedOn w:val="Fontdeparagrafimplicit"/>
    <w:link w:val="Subtitlu"/>
    <w:uiPriority w:val="11"/>
    <w:rsid w:val="00143FC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3FC9"/>
    <w:pPr>
      <w:spacing w:before="160" w:after="160" w:line="259" w:lineRule="auto"/>
      <w:jc w:val="center"/>
    </w:pPr>
    <w:rPr>
      <w:i/>
      <w:iCs/>
      <w:color w:val="404040" w:themeColor="text1" w:themeTint="BF"/>
      <w:lang w:val="en-GB"/>
    </w:rPr>
  </w:style>
  <w:style w:type="character" w:customStyle="1" w:styleId="CitatCaracter">
    <w:name w:val="Citat Caracter"/>
    <w:basedOn w:val="Fontdeparagrafimplicit"/>
    <w:link w:val="Citat"/>
    <w:uiPriority w:val="29"/>
    <w:rsid w:val="00143FC9"/>
    <w:rPr>
      <w:i/>
      <w:iCs/>
      <w:color w:val="404040" w:themeColor="text1" w:themeTint="BF"/>
    </w:rPr>
  </w:style>
  <w:style w:type="paragraph" w:styleId="Listparagraf">
    <w:name w:val="List Paragraph"/>
    <w:basedOn w:val="Normal"/>
    <w:uiPriority w:val="34"/>
    <w:qFormat/>
    <w:rsid w:val="00143FC9"/>
    <w:pPr>
      <w:spacing w:after="160" w:line="259" w:lineRule="auto"/>
      <w:ind w:left="720"/>
      <w:contextualSpacing/>
    </w:pPr>
    <w:rPr>
      <w:lang w:val="en-GB"/>
    </w:rPr>
  </w:style>
  <w:style w:type="character" w:styleId="Accentuareintens">
    <w:name w:val="Intense Emphasis"/>
    <w:basedOn w:val="Fontdeparagrafimplicit"/>
    <w:uiPriority w:val="21"/>
    <w:qFormat/>
    <w:rsid w:val="00143FC9"/>
    <w:rPr>
      <w:i/>
      <w:iCs/>
      <w:color w:val="2F5496" w:themeColor="accent1" w:themeShade="BF"/>
    </w:rPr>
  </w:style>
  <w:style w:type="paragraph" w:styleId="Citatintens">
    <w:name w:val="Intense Quote"/>
    <w:basedOn w:val="Normal"/>
    <w:next w:val="Normal"/>
    <w:link w:val="CitatintensCaracter"/>
    <w:uiPriority w:val="30"/>
    <w:qFormat/>
    <w:rsid w:val="00143FC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GB"/>
    </w:rPr>
  </w:style>
  <w:style w:type="character" w:customStyle="1" w:styleId="CitatintensCaracter">
    <w:name w:val="Citat intens Caracter"/>
    <w:basedOn w:val="Fontdeparagrafimplicit"/>
    <w:link w:val="Citatintens"/>
    <w:uiPriority w:val="30"/>
    <w:rsid w:val="00143FC9"/>
    <w:rPr>
      <w:i/>
      <w:iCs/>
      <w:color w:val="2F5496" w:themeColor="accent1" w:themeShade="BF"/>
    </w:rPr>
  </w:style>
  <w:style w:type="character" w:styleId="Referireintens">
    <w:name w:val="Intense Reference"/>
    <w:basedOn w:val="Fontdeparagrafimplicit"/>
    <w:uiPriority w:val="32"/>
    <w:qFormat/>
    <w:rsid w:val="00143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0700">
      <w:bodyDiv w:val="1"/>
      <w:marLeft w:val="0"/>
      <w:marRight w:val="0"/>
      <w:marTop w:val="0"/>
      <w:marBottom w:val="0"/>
      <w:divBdr>
        <w:top w:val="none" w:sz="0" w:space="0" w:color="auto"/>
        <w:left w:val="none" w:sz="0" w:space="0" w:color="auto"/>
        <w:bottom w:val="none" w:sz="0" w:space="0" w:color="auto"/>
        <w:right w:val="none" w:sz="0" w:space="0" w:color="auto"/>
      </w:divBdr>
      <w:divsChild>
        <w:div w:id="592129189">
          <w:marLeft w:val="0"/>
          <w:marRight w:val="0"/>
          <w:marTop w:val="0"/>
          <w:marBottom w:val="0"/>
          <w:divBdr>
            <w:top w:val="none" w:sz="0" w:space="0" w:color="auto"/>
            <w:left w:val="none" w:sz="0" w:space="0" w:color="auto"/>
            <w:bottom w:val="none" w:sz="0" w:space="0" w:color="auto"/>
            <w:right w:val="none" w:sz="0" w:space="0" w:color="auto"/>
          </w:divBdr>
        </w:div>
        <w:div w:id="829717601">
          <w:marLeft w:val="0"/>
          <w:marRight w:val="0"/>
          <w:marTop w:val="0"/>
          <w:marBottom w:val="0"/>
          <w:divBdr>
            <w:top w:val="none" w:sz="0" w:space="0" w:color="auto"/>
            <w:left w:val="none" w:sz="0" w:space="0" w:color="auto"/>
            <w:bottom w:val="none" w:sz="0" w:space="0" w:color="auto"/>
            <w:right w:val="none" w:sz="0" w:space="0" w:color="auto"/>
          </w:divBdr>
        </w:div>
        <w:div w:id="1472021950">
          <w:marLeft w:val="0"/>
          <w:marRight w:val="0"/>
          <w:marTop w:val="0"/>
          <w:marBottom w:val="0"/>
          <w:divBdr>
            <w:top w:val="none" w:sz="0" w:space="0" w:color="auto"/>
            <w:left w:val="none" w:sz="0" w:space="0" w:color="auto"/>
            <w:bottom w:val="none" w:sz="0" w:space="0" w:color="auto"/>
            <w:right w:val="none" w:sz="0" w:space="0" w:color="auto"/>
          </w:divBdr>
        </w:div>
        <w:div w:id="1509296613">
          <w:marLeft w:val="0"/>
          <w:marRight w:val="0"/>
          <w:marTop w:val="0"/>
          <w:marBottom w:val="0"/>
          <w:divBdr>
            <w:top w:val="none" w:sz="0" w:space="0" w:color="auto"/>
            <w:left w:val="none" w:sz="0" w:space="0" w:color="auto"/>
            <w:bottom w:val="none" w:sz="0" w:space="0" w:color="auto"/>
            <w:right w:val="none" w:sz="0" w:space="0" w:color="auto"/>
          </w:divBdr>
        </w:div>
        <w:div w:id="1938631224">
          <w:marLeft w:val="0"/>
          <w:marRight w:val="0"/>
          <w:marTop w:val="0"/>
          <w:marBottom w:val="0"/>
          <w:divBdr>
            <w:top w:val="none" w:sz="0" w:space="0" w:color="auto"/>
            <w:left w:val="none" w:sz="0" w:space="0" w:color="auto"/>
            <w:bottom w:val="none" w:sz="0" w:space="0" w:color="auto"/>
            <w:right w:val="none" w:sz="0" w:space="0" w:color="auto"/>
          </w:divBdr>
        </w:div>
      </w:divsChild>
    </w:div>
    <w:div w:id="1843007461">
      <w:bodyDiv w:val="1"/>
      <w:marLeft w:val="0"/>
      <w:marRight w:val="0"/>
      <w:marTop w:val="0"/>
      <w:marBottom w:val="0"/>
      <w:divBdr>
        <w:top w:val="none" w:sz="0" w:space="0" w:color="auto"/>
        <w:left w:val="none" w:sz="0" w:space="0" w:color="auto"/>
        <w:bottom w:val="none" w:sz="0" w:space="0" w:color="auto"/>
        <w:right w:val="none" w:sz="0" w:space="0" w:color="auto"/>
      </w:divBdr>
      <w:divsChild>
        <w:div w:id="463281485">
          <w:marLeft w:val="0"/>
          <w:marRight w:val="0"/>
          <w:marTop w:val="0"/>
          <w:marBottom w:val="0"/>
          <w:divBdr>
            <w:top w:val="none" w:sz="0" w:space="0" w:color="auto"/>
            <w:left w:val="none" w:sz="0" w:space="0" w:color="auto"/>
            <w:bottom w:val="none" w:sz="0" w:space="0" w:color="auto"/>
            <w:right w:val="none" w:sz="0" w:space="0" w:color="auto"/>
          </w:divBdr>
        </w:div>
        <w:div w:id="685441951">
          <w:marLeft w:val="0"/>
          <w:marRight w:val="0"/>
          <w:marTop w:val="0"/>
          <w:marBottom w:val="0"/>
          <w:divBdr>
            <w:top w:val="none" w:sz="0" w:space="0" w:color="auto"/>
            <w:left w:val="none" w:sz="0" w:space="0" w:color="auto"/>
            <w:bottom w:val="none" w:sz="0" w:space="0" w:color="auto"/>
            <w:right w:val="none" w:sz="0" w:space="0" w:color="auto"/>
          </w:divBdr>
        </w:div>
        <w:div w:id="699672051">
          <w:marLeft w:val="0"/>
          <w:marRight w:val="0"/>
          <w:marTop w:val="0"/>
          <w:marBottom w:val="0"/>
          <w:divBdr>
            <w:top w:val="none" w:sz="0" w:space="0" w:color="auto"/>
            <w:left w:val="none" w:sz="0" w:space="0" w:color="auto"/>
            <w:bottom w:val="none" w:sz="0" w:space="0" w:color="auto"/>
            <w:right w:val="none" w:sz="0" w:space="0" w:color="auto"/>
          </w:divBdr>
        </w:div>
        <w:div w:id="1135180011">
          <w:marLeft w:val="0"/>
          <w:marRight w:val="0"/>
          <w:marTop w:val="0"/>
          <w:marBottom w:val="0"/>
          <w:divBdr>
            <w:top w:val="none" w:sz="0" w:space="0" w:color="auto"/>
            <w:left w:val="none" w:sz="0" w:space="0" w:color="auto"/>
            <w:bottom w:val="none" w:sz="0" w:space="0" w:color="auto"/>
            <w:right w:val="none" w:sz="0" w:space="0" w:color="auto"/>
          </w:divBdr>
        </w:div>
        <w:div w:id="207619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5594</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Stefan</dc:creator>
  <cp:keywords/>
  <dc:description/>
  <cp:lastModifiedBy>Stanciu Stefan</cp:lastModifiedBy>
  <cp:revision>2</cp:revision>
  <dcterms:created xsi:type="dcterms:W3CDTF">2025-08-05T10:12:00Z</dcterms:created>
  <dcterms:modified xsi:type="dcterms:W3CDTF">2025-08-05T10:12:00Z</dcterms:modified>
</cp:coreProperties>
</file>